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6182" w14:textId="77777777" w:rsidR="001C214D" w:rsidRPr="001C214D" w:rsidRDefault="001C214D" w:rsidP="001C214D">
      <w:pPr>
        <w:jc w:val="both"/>
        <w:rPr>
          <w:b/>
          <w:bCs/>
        </w:rPr>
      </w:pPr>
      <w:r w:rsidRPr="001C214D">
        <w:rPr>
          <w:b/>
          <w:bCs/>
        </w:rPr>
        <w:t>Evoluzioni. Transizione digitale nell’economia sociale</w:t>
      </w:r>
    </w:p>
    <w:p w14:paraId="04DD76B8" w14:textId="77777777" w:rsidR="001C214D" w:rsidRDefault="001C214D" w:rsidP="001C214D">
      <w:pPr>
        <w:jc w:val="both"/>
      </w:pPr>
      <w:r>
        <w:t>La finalità principale del bando consiste nel fornire agli enti operanti nell’economia sociale uno strumento utile a favorire la progettazione e l’esecuzione di strategie e processi di transizione digitale, oltre a consolidare la cultura e le competenze dell’innovazione digitale.</w:t>
      </w:r>
    </w:p>
    <w:p w14:paraId="3F20370D" w14:textId="77777777" w:rsidR="001C214D" w:rsidRDefault="001C214D" w:rsidP="001C214D">
      <w:pPr>
        <w:jc w:val="both"/>
      </w:pPr>
      <w:r>
        <w:t xml:space="preserve">In particolare, il bando della Compagnia di San Paolo e Fondazione Cariplo incoraggia la capacità da parte degli enti di mettere in relazione in diversi ambiti, favorendo la generazione di processi integrati ovvero:  </w:t>
      </w:r>
    </w:p>
    <w:p w14:paraId="51ECCF21" w14:textId="77777777" w:rsidR="001C214D" w:rsidRDefault="001C214D" w:rsidP="001C214D">
      <w:pPr>
        <w:jc w:val="both"/>
      </w:pPr>
      <w:r>
        <w:t xml:space="preserve">1. Digital </w:t>
      </w:r>
      <w:proofErr w:type="spellStart"/>
      <w:r>
        <w:t>transformation</w:t>
      </w:r>
      <w:proofErr w:type="spellEnd"/>
      <w:r>
        <w:t>:</w:t>
      </w:r>
    </w:p>
    <w:p w14:paraId="04D303ED" w14:textId="77777777" w:rsidR="001C214D" w:rsidRDefault="001C214D" w:rsidP="001C214D">
      <w:pPr>
        <w:jc w:val="both"/>
      </w:pPr>
      <w:r>
        <w:t>Innovazione digitale nei processi organizzativi interni e di filiera</w:t>
      </w:r>
    </w:p>
    <w:p w14:paraId="2E4A53E5" w14:textId="77777777" w:rsidR="001C214D" w:rsidRDefault="001C214D" w:rsidP="001C214D">
      <w:pPr>
        <w:jc w:val="both"/>
      </w:pPr>
      <w:r>
        <w:t>2. Human-</w:t>
      </w:r>
      <w:proofErr w:type="spellStart"/>
      <w:r>
        <w:t>centered</w:t>
      </w:r>
      <w:proofErr w:type="spellEnd"/>
      <w:r>
        <w:t xml:space="preserve"> design:</w:t>
      </w:r>
    </w:p>
    <w:p w14:paraId="748145E4" w14:textId="77777777" w:rsidR="001C214D" w:rsidRDefault="001C214D" w:rsidP="001C214D">
      <w:pPr>
        <w:jc w:val="both"/>
      </w:pPr>
      <w:r>
        <w:t>Innovazione dei servizi a impatto sociale</w:t>
      </w:r>
    </w:p>
    <w:p w14:paraId="1E632388" w14:textId="77777777" w:rsidR="001C214D" w:rsidRDefault="001C214D" w:rsidP="001C214D">
      <w:pPr>
        <w:jc w:val="both"/>
      </w:pPr>
      <w:r>
        <w:t>Questo ambito si concentra sull’adozione degli strumenti digitali nell’erogazione dei servizi da parte degli enti, in relazione ai destinatari finali.</w:t>
      </w:r>
    </w:p>
    <w:p w14:paraId="5C56DADE" w14:textId="77777777" w:rsidR="001C214D" w:rsidRDefault="001C214D" w:rsidP="001C214D">
      <w:pPr>
        <w:jc w:val="both"/>
      </w:pPr>
      <w:r>
        <w:t>3. Data-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>:</w:t>
      </w:r>
    </w:p>
    <w:p w14:paraId="0B1754E9" w14:textId="77777777" w:rsidR="001C214D" w:rsidRDefault="001C214D" w:rsidP="001C214D">
      <w:pPr>
        <w:jc w:val="both"/>
      </w:pPr>
      <w:r>
        <w:t>I dati per le decisioni strategiche</w:t>
      </w:r>
    </w:p>
    <w:p w14:paraId="19213574" w14:textId="77777777" w:rsidR="001C214D" w:rsidRDefault="001C214D" w:rsidP="001C214D">
      <w:pPr>
        <w:jc w:val="both"/>
      </w:pPr>
      <w:r>
        <w:t>Questo ambito sostiene la filiera del dato, dalla sua creazione all’interoperabilità delle banche dati, con il fine di promuovere maggiore consapevolezza decisionale e strategica nelle organizzazioni.</w:t>
      </w:r>
    </w:p>
    <w:p w14:paraId="2A0C6F92" w14:textId="77777777" w:rsidR="001C214D" w:rsidRDefault="001C214D" w:rsidP="001C214D">
      <w:pPr>
        <w:jc w:val="both"/>
      </w:pPr>
      <w:r>
        <w:t>4. Marketing, comunicazione e fundraising:</w:t>
      </w:r>
    </w:p>
    <w:p w14:paraId="3A20F201" w14:textId="77777777" w:rsidR="001C214D" w:rsidRDefault="001C214D" w:rsidP="001C214D">
      <w:pPr>
        <w:jc w:val="both"/>
      </w:pPr>
      <w:r>
        <w:t>Digitalizzazione dei processi di comunicazione e fundraising</w:t>
      </w:r>
    </w:p>
    <w:p w14:paraId="1CF0F286" w14:textId="77777777" w:rsidR="001C214D" w:rsidRDefault="001C214D" w:rsidP="001C214D">
      <w:pPr>
        <w:jc w:val="both"/>
      </w:pPr>
      <w:r>
        <w:t>Questo ambito vuole favorire l’adozione di una strategia e della pratica del marketing strategico, avente l’obiettivo di promuovere nuove forme di relazione tra enti e comunità di riferimento e la mobilitazione di maggiori risorse nella creazione di valore sociale condiviso.</w:t>
      </w:r>
    </w:p>
    <w:p w14:paraId="6294B035" w14:textId="77777777" w:rsidR="001C214D" w:rsidRPr="001C214D" w:rsidRDefault="001C214D" w:rsidP="001C214D">
      <w:pPr>
        <w:jc w:val="both"/>
        <w:rPr>
          <w:b/>
          <w:bCs/>
        </w:rPr>
      </w:pPr>
      <w:r w:rsidRPr="001C214D">
        <w:rPr>
          <w:b/>
          <w:bCs/>
        </w:rPr>
        <w:t xml:space="preserve">Beneficiari: </w:t>
      </w:r>
    </w:p>
    <w:p w14:paraId="7D38BD90" w14:textId="77777777" w:rsidR="001C214D" w:rsidRDefault="001C214D" w:rsidP="001C214D">
      <w:pPr>
        <w:jc w:val="both"/>
      </w:pPr>
      <w:r>
        <w:t>In particolare, il bando è rivolto agli enti in possesso dei seguenti requisiti:</w:t>
      </w:r>
    </w:p>
    <w:p w14:paraId="04CD3520" w14:textId="77777777" w:rsidR="001C214D" w:rsidRDefault="001C214D" w:rsidP="001C214D">
      <w:pPr>
        <w:jc w:val="both"/>
      </w:pPr>
      <w:r>
        <w:t>•</w:t>
      </w:r>
      <w:r>
        <w:tab/>
        <w:t>essere di natura privata, senza fini di lucro;</w:t>
      </w:r>
    </w:p>
    <w:p w14:paraId="418529E1" w14:textId="77777777" w:rsidR="001C214D" w:rsidRDefault="001C214D" w:rsidP="001C214D">
      <w:pPr>
        <w:jc w:val="both"/>
      </w:pPr>
      <w:r>
        <w:t>•</w:t>
      </w:r>
      <w:r>
        <w:tab/>
        <w:t xml:space="preserve">operare in uno o più settori di interesse generale dell’economia sociale, quali quello sociale, </w:t>
      </w:r>
    </w:p>
    <w:p w14:paraId="4F7BD12F" w14:textId="750469DE" w:rsidR="001C214D" w:rsidRDefault="001C214D" w:rsidP="001C214D">
      <w:pPr>
        <w:jc w:val="both"/>
      </w:pPr>
      <w:r>
        <w:t xml:space="preserve">              </w:t>
      </w:r>
      <w:r>
        <w:t>culturale e/o ambientale;</w:t>
      </w:r>
    </w:p>
    <w:p w14:paraId="5C14D9A1" w14:textId="77777777" w:rsidR="001C214D" w:rsidRDefault="001C214D" w:rsidP="001C214D">
      <w:pPr>
        <w:jc w:val="both"/>
      </w:pPr>
      <w:r>
        <w:t>•</w:t>
      </w:r>
      <w:r>
        <w:tab/>
        <w:t>avere almeno una sede operativa in Lombardia, Piemonte, Liguria e/o Valle d’Aosta;</w:t>
      </w:r>
    </w:p>
    <w:p w14:paraId="26EDE25C" w14:textId="77777777" w:rsidR="001C214D" w:rsidRDefault="001C214D" w:rsidP="001C214D">
      <w:pPr>
        <w:jc w:val="both"/>
      </w:pPr>
      <w:r>
        <w:t>•</w:t>
      </w:r>
      <w:r>
        <w:tab/>
        <w:t>essere stato legalmente costituito prima del 1° gennaio 2017;</w:t>
      </w:r>
    </w:p>
    <w:p w14:paraId="0F11BA58" w14:textId="77777777" w:rsidR="001C214D" w:rsidRDefault="001C214D" w:rsidP="001C214D">
      <w:pPr>
        <w:jc w:val="both"/>
      </w:pPr>
      <w:r>
        <w:lastRenderedPageBreak/>
        <w:t>•</w:t>
      </w:r>
      <w:r>
        <w:tab/>
        <w:t>presentare nel bilancio consuntivo 2019 un totale del valore della produzione o dei proventi di almeno 300.000 euro;</w:t>
      </w:r>
    </w:p>
    <w:p w14:paraId="36266A0E" w14:textId="77777777" w:rsidR="001C214D" w:rsidRDefault="001C214D" w:rsidP="001C214D">
      <w:pPr>
        <w:jc w:val="both"/>
      </w:pPr>
      <w:r>
        <w:t>•</w:t>
      </w:r>
      <w:r>
        <w:tab/>
        <w:t>presentare nel bilancio consuntivo approvato 2020 un patrimonio netto positivo o, in caso di patrimonio netto negativo, essere in possesso di una ricapitalizzazione già deliberata;</w:t>
      </w:r>
    </w:p>
    <w:p w14:paraId="7ABF7BBD" w14:textId="77777777" w:rsidR="001C214D" w:rsidRDefault="001C214D" w:rsidP="001C214D">
      <w:pPr>
        <w:jc w:val="both"/>
      </w:pPr>
      <w:r>
        <w:t>•</w:t>
      </w:r>
      <w:r>
        <w:tab/>
        <w:t>avere una presenza stabile nell’organizzazione di almeno tre figure/profili professionali, a prescindere dalla forma contrattuale (dipendenti o collaboratori).</w:t>
      </w:r>
    </w:p>
    <w:p w14:paraId="1EFB0E01" w14:textId="77777777" w:rsidR="001C214D" w:rsidRDefault="001C214D" w:rsidP="001C214D">
      <w:pPr>
        <w:jc w:val="both"/>
      </w:pPr>
      <w:r>
        <w:t>Presentazione della domanda:</w:t>
      </w:r>
    </w:p>
    <w:p w14:paraId="2054F815" w14:textId="77777777" w:rsidR="001C214D" w:rsidRDefault="001C214D" w:rsidP="001C214D">
      <w:pPr>
        <w:jc w:val="both"/>
      </w:pPr>
      <w:r>
        <w:t>Fase preliminare</w:t>
      </w:r>
    </w:p>
    <w:p w14:paraId="76BE0E8C" w14:textId="77777777" w:rsidR="001C214D" w:rsidRDefault="001C214D" w:rsidP="001C214D">
      <w:pPr>
        <w:jc w:val="both"/>
      </w:pPr>
      <w:r>
        <w:t>22 aprile 2022 alle 17.00 – Scadenza per l’invio della manifestazione di interesse</w:t>
      </w:r>
    </w:p>
    <w:p w14:paraId="0035592F" w14:textId="455E5DCA" w:rsidR="001C214D" w:rsidRDefault="001C214D" w:rsidP="001C214D">
      <w:pPr>
        <w:jc w:val="both"/>
      </w:pPr>
      <w:r>
        <w:t>Entro il 31 maggio 2022 – Pubblicazione delle proposte ammesse alla Fase 1</w:t>
      </w:r>
    </w:p>
    <w:p w14:paraId="19AB08C3" w14:textId="77777777" w:rsidR="001C214D" w:rsidRDefault="001C214D" w:rsidP="001C214D">
      <w:pPr>
        <w:jc w:val="both"/>
      </w:pPr>
      <w:r>
        <w:t>Fase 1</w:t>
      </w:r>
    </w:p>
    <w:p w14:paraId="517BEC85" w14:textId="77777777" w:rsidR="001C214D" w:rsidRDefault="001C214D" w:rsidP="001C214D">
      <w:pPr>
        <w:jc w:val="both"/>
      </w:pPr>
      <w:r>
        <w:t>Giugno – luglio 2022 – Attività di formazione e facilitazione al matching. Elaborazione del piano di innovazione</w:t>
      </w:r>
    </w:p>
    <w:p w14:paraId="1A2D7DB2" w14:textId="77777777" w:rsidR="001C214D" w:rsidRDefault="001C214D" w:rsidP="001C214D">
      <w:pPr>
        <w:jc w:val="both"/>
      </w:pPr>
      <w:r>
        <w:t>29 luglio 2022 alle 17.00 – Scadenza per l’invio del piano di innovazione</w:t>
      </w:r>
    </w:p>
    <w:p w14:paraId="5E3BD760" w14:textId="77777777" w:rsidR="001C214D" w:rsidRDefault="001C214D" w:rsidP="001C214D">
      <w:pPr>
        <w:jc w:val="both"/>
      </w:pPr>
      <w:r>
        <w:t>Entro il 30 ottobre 2022 – Pubblicazione delle proposte ammesse alla Fase 2</w:t>
      </w:r>
    </w:p>
    <w:p w14:paraId="38C2632E" w14:textId="77777777" w:rsidR="001C214D" w:rsidRDefault="001C214D" w:rsidP="001C214D">
      <w:pPr>
        <w:jc w:val="both"/>
      </w:pPr>
      <w:r>
        <w:t>Fase 2</w:t>
      </w:r>
    </w:p>
    <w:p w14:paraId="1463A55E" w14:textId="77777777" w:rsidR="001C214D" w:rsidRDefault="001C214D" w:rsidP="001C214D">
      <w:pPr>
        <w:jc w:val="both"/>
      </w:pPr>
      <w:r>
        <w:t>Novembre 2022 – Attività di formazione</w:t>
      </w:r>
    </w:p>
    <w:p w14:paraId="4DCBCFD4" w14:textId="77777777" w:rsidR="001C214D" w:rsidRDefault="001C214D" w:rsidP="001C214D">
      <w:pPr>
        <w:jc w:val="both"/>
      </w:pPr>
      <w:r>
        <w:t>15 febbraio 2023 alle 17.00 – Scadenza per l’invio del progetto esecutivo</w:t>
      </w:r>
    </w:p>
    <w:p w14:paraId="1EF0D933" w14:textId="77777777" w:rsidR="001C214D" w:rsidRDefault="001C214D" w:rsidP="001C214D">
      <w:pPr>
        <w:jc w:val="both"/>
      </w:pPr>
      <w:r>
        <w:t>Entro il 30 aprile 2023 – Pubblicazione delle proposte selezionate</w:t>
      </w:r>
    </w:p>
    <w:p w14:paraId="627EC261" w14:textId="33F3FFFF" w:rsidR="001C214D" w:rsidRPr="001C214D" w:rsidRDefault="001C214D" w:rsidP="001C214D">
      <w:pPr>
        <w:jc w:val="both"/>
        <w:rPr>
          <w:b/>
          <w:bCs/>
        </w:rPr>
      </w:pPr>
      <w:r w:rsidRPr="001C214D">
        <w:rPr>
          <w:b/>
          <w:bCs/>
        </w:rPr>
        <w:t>Contributo:</w:t>
      </w:r>
    </w:p>
    <w:p w14:paraId="7C318A1B" w14:textId="77777777" w:rsidR="001C214D" w:rsidRDefault="001C214D" w:rsidP="001C214D">
      <w:pPr>
        <w:jc w:val="both"/>
      </w:pPr>
      <w:r>
        <w:t>-</w:t>
      </w:r>
      <w:r>
        <w:tab/>
        <w:t>Per gli enti selezionati nella Fase 1 è prevista l’attribuzione di un contributo fino a un massimo di 15.000 euro destinato all’elaborazione del progetto esecutivo.</w:t>
      </w:r>
    </w:p>
    <w:p w14:paraId="138C20C0" w14:textId="77777777" w:rsidR="001C214D" w:rsidRDefault="001C214D" w:rsidP="001C214D">
      <w:pPr>
        <w:jc w:val="both"/>
      </w:pPr>
      <w:r>
        <w:t>-</w:t>
      </w:r>
      <w:r>
        <w:tab/>
        <w:t>Gli enti selezionati nella Fase 2 riceveranno un contributo fino a un massimo di 120.000 euro destinato all’implementazione del progetto esecutivo, a copertura massima del 75% del budget, con un cofinanziamento richiesto minimo del 25% del costo totale.</w:t>
      </w:r>
    </w:p>
    <w:p w14:paraId="3C9DA6A0" w14:textId="070E2B7C" w:rsidR="001C214D" w:rsidRDefault="001C214D" w:rsidP="001C214D">
      <w:pPr>
        <w:jc w:val="both"/>
      </w:pPr>
      <w:r>
        <w:t>Il budget presentato nella Fase 1 potrà comprendere:</w:t>
      </w:r>
    </w:p>
    <w:p w14:paraId="51706D53" w14:textId="77777777" w:rsidR="001C214D" w:rsidRDefault="001C214D" w:rsidP="001C214D">
      <w:pPr>
        <w:jc w:val="both"/>
      </w:pPr>
      <w:r>
        <w:t>•</w:t>
      </w:r>
      <w:r>
        <w:tab/>
        <w:t xml:space="preserve">il compenso per l’incarico da attivare con </w:t>
      </w:r>
      <w:proofErr w:type="spellStart"/>
      <w:r>
        <w:t>l’innovation</w:t>
      </w:r>
      <w:proofErr w:type="spellEnd"/>
      <w:r>
        <w:t xml:space="preserve"> advisor che supporterà l’ente nell’elaborazione del progetto esecutivo;</w:t>
      </w:r>
    </w:p>
    <w:p w14:paraId="611ED98D" w14:textId="77777777" w:rsidR="001C214D" w:rsidRDefault="001C214D" w:rsidP="001C214D">
      <w:pPr>
        <w:jc w:val="both"/>
      </w:pPr>
      <w:r>
        <w:t>•</w:t>
      </w:r>
      <w:r>
        <w:tab/>
        <w:t>i costi diretti relativi all’elaborazione del progetto esecutivo (es. personale dell’ente, altre spese).</w:t>
      </w:r>
    </w:p>
    <w:p w14:paraId="2E381AEC" w14:textId="396DA72D" w:rsidR="001C214D" w:rsidRDefault="001C214D" w:rsidP="001C214D">
      <w:pPr>
        <w:jc w:val="both"/>
      </w:pPr>
      <w:r>
        <w:lastRenderedPageBreak/>
        <w:t>Il budget presentato nella Fase 2 potrà comprendere:</w:t>
      </w:r>
    </w:p>
    <w:p w14:paraId="72F6A660" w14:textId="77777777" w:rsidR="001C214D" w:rsidRDefault="001C214D" w:rsidP="001C214D">
      <w:pPr>
        <w:jc w:val="both"/>
      </w:pPr>
      <w:r>
        <w:t>•</w:t>
      </w:r>
      <w:r>
        <w:tab/>
        <w:t xml:space="preserve">i compensi per gli incarichi da attivare con </w:t>
      </w:r>
      <w:proofErr w:type="spellStart"/>
      <w:r>
        <w:t>l’innovation</w:t>
      </w:r>
      <w:proofErr w:type="spellEnd"/>
      <w:r>
        <w:t xml:space="preserve"> advisor e i fornitori tecnologici indicati nel progetto esecutivo;</w:t>
      </w:r>
    </w:p>
    <w:p w14:paraId="7B599D98" w14:textId="77777777" w:rsidR="001C214D" w:rsidRDefault="001C214D" w:rsidP="001C214D">
      <w:pPr>
        <w:jc w:val="both"/>
      </w:pPr>
      <w:r>
        <w:t>•</w:t>
      </w:r>
      <w:r>
        <w:tab/>
        <w:t>altri costi quali risorse umane, collaborazioni, acquisto di beni e servizi, partecipazione a opportunità formative ecc., purché tutti comprovatamente collegati alla realizzazione del progetto esecutivo.</w:t>
      </w:r>
    </w:p>
    <w:p w14:paraId="37FFBFA3" w14:textId="77777777" w:rsidR="001C214D" w:rsidRDefault="001C214D" w:rsidP="001C214D">
      <w:pPr>
        <w:jc w:val="both"/>
      </w:pPr>
      <w:r>
        <w:t>Il budget presentato nella Fase 2 non potrà comprendere:</w:t>
      </w:r>
    </w:p>
    <w:p w14:paraId="6967ADF3" w14:textId="77777777" w:rsidR="001C214D" w:rsidRDefault="001C214D" w:rsidP="001C214D">
      <w:pPr>
        <w:jc w:val="both"/>
      </w:pPr>
      <w:r>
        <w:t>•</w:t>
      </w:r>
      <w:r>
        <w:tab/>
        <w:t>il personale strutturato dell’ente con riferimento alla gestione ordinaria;</w:t>
      </w:r>
    </w:p>
    <w:p w14:paraId="49892608" w14:textId="77777777" w:rsidR="001C214D" w:rsidRDefault="001C214D" w:rsidP="001C214D">
      <w:pPr>
        <w:jc w:val="both"/>
      </w:pPr>
      <w:r>
        <w:t>•</w:t>
      </w:r>
      <w:r>
        <w:tab/>
        <w:t>la manutenzione straordinaria delle tecnologie e le eventuali licenze successive al primo anno;</w:t>
      </w:r>
    </w:p>
    <w:p w14:paraId="2D84EA2F" w14:textId="77777777" w:rsidR="001C214D" w:rsidRDefault="001C214D" w:rsidP="001C214D">
      <w:pPr>
        <w:jc w:val="both"/>
      </w:pPr>
      <w:r>
        <w:t>•</w:t>
      </w:r>
      <w:r>
        <w:tab/>
        <w:t>le acquisizioni e/o gli interventi di manutenzione ordinaria e straordinaria di beni immobili;</w:t>
      </w:r>
    </w:p>
    <w:p w14:paraId="5F18C86A" w14:textId="77777777" w:rsidR="001C214D" w:rsidRDefault="001C214D" w:rsidP="001C214D">
      <w:pPr>
        <w:jc w:val="both"/>
      </w:pPr>
      <w:r>
        <w:t>•</w:t>
      </w:r>
      <w:r>
        <w:tab/>
        <w:t>costi non espressamente collegati con il progetto esecutivo.</w:t>
      </w:r>
    </w:p>
    <w:p w14:paraId="54CD8550" w14:textId="77777777" w:rsidR="001C214D" w:rsidRDefault="001C214D" w:rsidP="001C214D">
      <w:pPr>
        <w:jc w:val="both"/>
      </w:pPr>
      <w:r>
        <w:t>Il piano di copertura dei costi previsti per l’attuazione del progetto esecutivo deve essere esplicitato nella candidatura.</w:t>
      </w:r>
    </w:p>
    <w:p w14:paraId="6B804319" w14:textId="77777777" w:rsidR="001C214D" w:rsidRDefault="001C214D" w:rsidP="001C214D">
      <w:pPr>
        <w:jc w:val="both"/>
      </w:pPr>
      <w:r>
        <w:t>L’ente cofinanzierà il progetto esecutivo con risorse proprie o provenienti da altre fonti, quali autofinanziamento e contributi pubblici e/o privati. Non saranno ammesse donazioni di beni da parte di terzi, prestazioni di servizi pro bono né valorizzazione dell’attività di volontariato.</w:t>
      </w:r>
    </w:p>
    <w:p w14:paraId="1BD66243" w14:textId="6CBC13C9" w:rsidR="00FE2F1C" w:rsidRDefault="001C214D" w:rsidP="001C214D">
      <w:pPr>
        <w:jc w:val="both"/>
      </w:pPr>
      <w:r>
        <w:t xml:space="preserve">Per maggiori informazioni: </w:t>
      </w:r>
      <w:hyperlink r:id="rId8" w:history="1">
        <w:r w:rsidRPr="008D0CEF">
          <w:rPr>
            <w:rStyle w:val="Collegamentoipertestuale"/>
          </w:rPr>
          <w:t>https://www.compagniadisanpaolo.it/it/contributi/evoluzioni-transizione-digitale-nelleconomia-sociale/</w:t>
        </w:r>
      </w:hyperlink>
    </w:p>
    <w:p w14:paraId="73781495" w14:textId="77777777" w:rsidR="001C214D" w:rsidRDefault="001C214D" w:rsidP="001C214D">
      <w:pPr>
        <w:jc w:val="both"/>
      </w:pPr>
    </w:p>
    <w:p w14:paraId="306D39EC" w14:textId="0C157F24" w:rsidR="00377815" w:rsidRDefault="00377815" w:rsidP="003778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8A25EF0" w14:textId="73A7EBFF" w:rsidR="00377815" w:rsidRDefault="00377815" w:rsidP="00FE2F1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</w:p>
    <w:p w14:paraId="60D350C6" w14:textId="77777777" w:rsidR="003C374A" w:rsidRDefault="003C374A" w:rsidP="00377815">
      <w:pPr>
        <w:spacing w:line="360" w:lineRule="auto"/>
      </w:pPr>
    </w:p>
    <w:sectPr w:rsidR="003C374A" w:rsidSect="003B773C">
      <w:headerReference w:type="default" r:id="rId9"/>
      <w:footerReference w:type="even" r:id="rId10"/>
      <w:footerReference w:type="default" r:id="rId11"/>
      <w:pgSz w:w="11906" w:h="16838" w:code="9"/>
      <w:pgMar w:top="2269" w:right="1134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E471" w14:textId="77777777" w:rsidR="008B3C16" w:rsidRDefault="008B3C16">
      <w:r>
        <w:separator/>
      </w:r>
    </w:p>
  </w:endnote>
  <w:endnote w:type="continuationSeparator" w:id="0">
    <w:p w14:paraId="1F41F981" w14:textId="77777777" w:rsidR="008B3C16" w:rsidRDefault="008B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A20A" w14:textId="77777777" w:rsidR="000C1957" w:rsidRDefault="000C1957" w:rsidP="00455F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665E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A5B21A4" w14:textId="77777777" w:rsidR="000C1957" w:rsidRDefault="000C1957" w:rsidP="009D25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D9E7" w14:textId="77777777" w:rsidR="00EB5D22" w:rsidRPr="00EB5D22" w:rsidRDefault="000C1957" w:rsidP="00EB5D22">
    <w:pPr>
      <w:pStyle w:val="Intestazione"/>
      <w:spacing w:after="120"/>
      <w:rPr>
        <w:rFonts w:ascii="Arial" w:hAnsi="Arial" w:cs="Arial"/>
        <w:b/>
        <w:color w:val="990000"/>
        <w:sz w:val="16"/>
        <w:szCs w:val="16"/>
      </w:rPr>
    </w:pPr>
    <w:r w:rsidRPr="00EB5D22">
      <w:rPr>
        <w:rFonts w:ascii="Arial" w:hAnsi="Arial" w:cs="Arial"/>
        <w:b/>
        <w:color w:val="990000"/>
        <w:sz w:val="16"/>
        <w:szCs w:val="16"/>
      </w:rPr>
      <w:t>Legacoop Piemonte</w:t>
    </w:r>
  </w:p>
  <w:p w14:paraId="71F434B4" w14:textId="77777777" w:rsidR="000C1957" w:rsidRPr="00EB5D22" w:rsidRDefault="000C1957" w:rsidP="00EB5D22">
    <w:pPr>
      <w:pStyle w:val="Intestazione"/>
      <w:spacing w:line="200" w:lineRule="exact"/>
      <w:rPr>
        <w:rFonts w:ascii="Arial" w:hAnsi="Arial" w:cs="Arial"/>
        <w:color w:val="999999"/>
        <w:sz w:val="16"/>
        <w:szCs w:val="16"/>
      </w:rPr>
    </w:pPr>
    <w:r w:rsidRPr="00EB5D22">
      <w:rPr>
        <w:rFonts w:ascii="Arial" w:hAnsi="Arial" w:cs="Arial"/>
        <w:color w:val="999999"/>
        <w:sz w:val="16"/>
        <w:szCs w:val="16"/>
      </w:rPr>
      <w:t xml:space="preserve">Via Livorno, </w:t>
    </w:r>
    <w:r w:rsidR="00DB0B3A" w:rsidRPr="00EB5D22">
      <w:rPr>
        <w:rFonts w:ascii="Arial" w:hAnsi="Arial" w:cs="Arial"/>
        <w:color w:val="999999"/>
        <w:sz w:val="16"/>
        <w:szCs w:val="16"/>
      </w:rPr>
      <w:t>49</w:t>
    </w:r>
    <w:r w:rsidR="00DB0B3A">
      <w:rPr>
        <w:rFonts w:ascii="Arial" w:hAnsi="Arial" w:cs="Arial"/>
        <w:color w:val="999999"/>
        <w:sz w:val="16"/>
        <w:szCs w:val="16"/>
      </w:rPr>
      <w:t>-</w:t>
    </w:r>
    <w:r w:rsidR="00DB0B3A" w:rsidRPr="00EB5D22">
      <w:rPr>
        <w:rFonts w:ascii="Arial" w:hAnsi="Arial" w:cs="Arial"/>
        <w:color w:val="999999"/>
        <w:sz w:val="16"/>
        <w:szCs w:val="16"/>
      </w:rPr>
      <w:t>10144</w:t>
    </w:r>
    <w:r w:rsidRPr="00EB5D22">
      <w:rPr>
        <w:rFonts w:ascii="Arial" w:hAnsi="Arial" w:cs="Arial"/>
        <w:color w:val="999999"/>
        <w:sz w:val="16"/>
        <w:szCs w:val="16"/>
      </w:rPr>
      <w:t xml:space="preserve"> Torino</w:t>
    </w:r>
  </w:p>
  <w:p w14:paraId="4096C9AA" w14:textId="77777777" w:rsidR="00325B3A" w:rsidRPr="00E112C9" w:rsidRDefault="00EB5D22" w:rsidP="00EB5D22">
    <w:pPr>
      <w:pStyle w:val="Pidipagina"/>
      <w:spacing w:line="200" w:lineRule="exact"/>
      <w:ind w:right="360"/>
      <w:rPr>
        <w:rFonts w:ascii="Arial" w:hAnsi="Arial" w:cs="Arial"/>
        <w:color w:val="999999"/>
        <w:sz w:val="16"/>
        <w:szCs w:val="16"/>
      </w:rPr>
    </w:pPr>
    <w:r w:rsidRPr="00E112C9">
      <w:rPr>
        <w:rFonts w:ascii="Arial" w:hAnsi="Arial" w:cs="Arial"/>
        <w:color w:val="999999"/>
        <w:sz w:val="16"/>
        <w:szCs w:val="16"/>
      </w:rPr>
      <w:t>T</w:t>
    </w:r>
    <w:r w:rsidR="000C1957" w:rsidRPr="00E112C9">
      <w:rPr>
        <w:rFonts w:ascii="Arial" w:hAnsi="Arial" w:cs="Arial"/>
        <w:color w:val="999999"/>
        <w:sz w:val="16"/>
        <w:szCs w:val="16"/>
      </w:rPr>
      <w:t>el. + 39 011 518 71 69</w:t>
    </w:r>
  </w:p>
  <w:p w14:paraId="73C3445D" w14:textId="77777777" w:rsidR="000C1957" w:rsidRPr="00E112C9" w:rsidRDefault="004B5537" w:rsidP="00D567B8">
    <w:pPr>
      <w:pStyle w:val="Pidipagina"/>
      <w:ind w:right="360"/>
      <w:rPr>
        <w:rFonts w:ascii="Arial" w:hAnsi="Arial" w:cs="Arial"/>
        <w:color w:val="999999"/>
        <w:sz w:val="16"/>
        <w:szCs w:val="16"/>
      </w:rPr>
    </w:pPr>
    <w:r w:rsidRPr="00E112C9">
      <w:rPr>
        <w:rFonts w:ascii="Arial" w:hAnsi="Arial" w:cs="Arial"/>
        <w:color w:val="999999"/>
        <w:sz w:val="16"/>
        <w:szCs w:val="16"/>
      </w:rPr>
      <w:t>info@legacoop-piemonte.coop</w:t>
    </w:r>
  </w:p>
  <w:p w14:paraId="25229A2C" w14:textId="77777777" w:rsidR="00325B3A" w:rsidRPr="00E112C9" w:rsidRDefault="00325B3A" w:rsidP="00D567B8">
    <w:pPr>
      <w:pStyle w:val="Pidipagina"/>
      <w:ind w:right="360"/>
      <w:rPr>
        <w:rFonts w:ascii="Arial" w:hAnsi="Arial" w:cs="Arial"/>
        <w:color w:val="999999"/>
        <w:sz w:val="16"/>
        <w:szCs w:val="16"/>
      </w:rPr>
    </w:pPr>
    <w:proofErr w:type="gramStart"/>
    <w:r w:rsidRPr="00E112C9">
      <w:rPr>
        <w:rFonts w:ascii="Arial" w:hAnsi="Arial" w:cs="Arial"/>
        <w:color w:val="999999"/>
        <w:sz w:val="16"/>
        <w:szCs w:val="16"/>
      </w:rPr>
      <w:t>PEC:legacoop@pec.legacoop-piemonte.org</w:t>
    </w:r>
    <w:proofErr w:type="gramEnd"/>
  </w:p>
  <w:p w14:paraId="3B816386" w14:textId="77777777" w:rsidR="00EB5D22" w:rsidRPr="00E112C9" w:rsidRDefault="008B3C16" w:rsidP="00D567B8">
    <w:pPr>
      <w:pStyle w:val="Pidipagina"/>
      <w:ind w:right="360"/>
      <w:rPr>
        <w:rFonts w:ascii="Arial" w:hAnsi="Arial" w:cs="Arial"/>
        <w:color w:val="999999"/>
        <w:sz w:val="16"/>
        <w:szCs w:val="16"/>
      </w:rPr>
    </w:pPr>
    <w:hyperlink r:id="rId1" w:history="1">
      <w:r w:rsidR="004B5537" w:rsidRPr="00E112C9">
        <w:rPr>
          <w:rStyle w:val="Collegamentoipertestuale"/>
          <w:rFonts w:ascii="Arial" w:hAnsi="Arial" w:cs="Arial"/>
          <w:sz w:val="16"/>
          <w:szCs w:val="16"/>
        </w:rPr>
        <w:t>www.legacoop-piemonte.coop</w:t>
      </w:r>
    </w:hyperlink>
  </w:p>
  <w:p w14:paraId="6DD3E7D7" w14:textId="77777777" w:rsidR="00EB5D22" w:rsidRPr="00E112C9" w:rsidRDefault="00EB5D22" w:rsidP="00D567B8">
    <w:pPr>
      <w:pStyle w:val="Pidipagina"/>
      <w:ind w:right="360"/>
      <w:rPr>
        <w:rFonts w:ascii="Arial" w:hAnsi="Arial" w:cs="Arial"/>
        <w:color w:val="000000"/>
        <w:sz w:val="16"/>
        <w:szCs w:val="16"/>
      </w:rPr>
    </w:pPr>
  </w:p>
  <w:p w14:paraId="75720CFA" w14:textId="77777777" w:rsidR="00EB5D22" w:rsidRPr="00EB5D22" w:rsidRDefault="00EB5D22" w:rsidP="00D567B8">
    <w:pPr>
      <w:pStyle w:val="Pidipagina"/>
      <w:ind w:right="360"/>
      <w:rPr>
        <w:color w:val="999999"/>
      </w:rPr>
    </w:pPr>
    <w:r w:rsidRPr="00EB5D22">
      <w:rPr>
        <w:rFonts w:ascii="Arial" w:hAnsi="Arial" w:cs="Arial"/>
        <w:color w:val="999999"/>
        <w:sz w:val="16"/>
        <w:szCs w:val="16"/>
      </w:rPr>
      <w:t>Codice Fiscale 80091060014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D5ED" w14:textId="77777777" w:rsidR="008B3C16" w:rsidRDefault="008B3C16">
      <w:r>
        <w:separator/>
      </w:r>
    </w:p>
  </w:footnote>
  <w:footnote w:type="continuationSeparator" w:id="0">
    <w:p w14:paraId="0C70DA3E" w14:textId="77777777" w:rsidR="008B3C16" w:rsidRDefault="008B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2117" w14:textId="65C6A506" w:rsidR="006E7360" w:rsidRDefault="00E112C9" w:rsidP="005E21EE">
    <w:pPr>
      <w:pStyle w:val="Intestazione"/>
      <w:rPr>
        <w:color w:val="999999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28E917B" wp14:editId="226FF154">
          <wp:simplePos x="0" y="0"/>
          <wp:positionH relativeFrom="column">
            <wp:posOffset>-48260</wp:posOffset>
          </wp:positionH>
          <wp:positionV relativeFrom="paragraph">
            <wp:posOffset>-320675</wp:posOffset>
          </wp:positionV>
          <wp:extent cx="2019935" cy="1146175"/>
          <wp:effectExtent l="0" t="0" r="0" b="0"/>
          <wp:wrapNone/>
          <wp:docPr id="1" name="Immagine 1" descr="legacoop piemo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egacoop piemo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069B">
      <w:tab/>
    </w:r>
    <w:r w:rsidR="00B9069B">
      <w:tab/>
    </w:r>
  </w:p>
  <w:p w14:paraId="32DC3A96" w14:textId="77777777" w:rsidR="006E7360" w:rsidRPr="002413F6" w:rsidRDefault="006E7360" w:rsidP="00B9069B">
    <w:pPr>
      <w:pStyle w:val="Intestazione"/>
      <w:rPr>
        <w:color w:val="9999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D6A"/>
    <w:multiLevelType w:val="hybridMultilevel"/>
    <w:tmpl w:val="1ACE9290"/>
    <w:lvl w:ilvl="0" w:tplc="ACCEEF3A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51C71"/>
    <w:multiLevelType w:val="hybridMultilevel"/>
    <w:tmpl w:val="BCDE47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251995"/>
    <w:multiLevelType w:val="hybridMultilevel"/>
    <w:tmpl w:val="A50AF0F4"/>
    <w:lvl w:ilvl="0" w:tplc="E97E226A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B92475E"/>
    <w:multiLevelType w:val="hybridMultilevel"/>
    <w:tmpl w:val="DC8C8A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B721FE"/>
    <w:multiLevelType w:val="hybridMultilevel"/>
    <w:tmpl w:val="FC3EA056"/>
    <w:lvl w:ilvl="0" w:tplc="D2F0CC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17985"/>
    <w:multiLevelType w:val="hybridMultilevel"/>
    <w:tmpl w:val="889E7666"/>
    <w:lvl w:ilvl="0" w:tplc="3AA0807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E37BF"/>
    <w:multiLevelType w:val="hybridMultilevel"/>
    <w:tmpl w:val="BA4A2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277AA"/>
    <w:multiLevelType w:val="hybridMultilevel"/>
    <w:tmpl w:val="A3C4260A"/>
    <w:lvl w:ilvl="0" w:tplc="F8E642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D42FF"/>
    <w:multiLevelType w:val="hybridMultilevel"/>
    <w:tmpl w:val="26FA8A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F253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4A305A"/>
    <w:multiLevelType w:val="hybridMultilevel"/>
    <w:tmpl w:val="DCAAE5D8"/>
    <w:lvl w:ilvl="0" w:tplc="6FB854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B7CC7"/>
    <w:multiLevelType w:val="hybridMultilevel"/>
    <w:tmpl w:val="3FDA1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662B0"/>
    <w:multiLevelType w:val="hybridMultilevel"/>
    <w:tmpl w:val="90B29F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C9"/>
    <w:rsid w:val="00072673"/>
    <w:rsid w:val="000B1F6E"/>
    <w:rsid w:val="000C1957"/>
    <w:rsid w:val="000D62FA"/>
    <w:rsid w:val="000D79A5"/>
    <w:rsid w:val="000E0482"/>
    <w:rsid w:val="00101CE4"/>
    <w:rsid w:val="00131492"/>
    <w:rsid w:val="00131BD8"/>
    <w:rsid w:val="001A0801"/>
    <w:rsid w:val="001B4488"/>
    <w:rsid w:val="001C214D"/>
    <w:rsid w:val="00215CDD"/>
    <w:rsid w:val="00227D60"/>
    <w:rsid w:val="002572B9"/>
    <w:rsid w:val="002617DF"/>
    <w:rsid w:val="00285D77"/>
    <w:rsid w:val="00287046"/>
    <w:rsid w:val="00291918"/>
    <w:rsid w:val="002B408F"/>
    <w:rsid w:val="002C20B1"/>
    <w:rsid w:val="0030161D"/>
    <w:rsid w:val="00301A27"/>
    <w:rsid w:val="00303EEB"/>
    <w:rsid w:val="003045A4"/>
    <w:rsid w:val="00310FBD"/>
    <w:rsid w:val="00311577"/>
    <w:rsid w:val="003120E0"/>
    <w:rsid w:val="003127A8"/>
    <w:rsid w:val="00325B3A"/>
    <w:rsid w:val="003314D9"/>
    <w:rsid w:val="003361AF"/>
    <w:rsid w:val="0033714A"/>
    <w:rsid w:val="00344692"/>
    <w:rsid w:val="00355AE0"/>
    <w:rsid w:val="00356185"/>
    <w:rsid w:val="00362455"/>
    <w:rsid w:val="0036527E"/>
    <w:rsid w:val="00374A4C"/>
    <w:rsid w:val="00377815"/>
    <w:rsid w:val="00384917"/>
    <w:rsid w:val="003A35AE"/>
    <w:rsid w:val="003B773C"/>
    <w:rsid w:val="003C374A"/>
    <w:rsid w:val="003D3C14"/>
    <w:rsid w:val="003D55FF"/>
    <w:rsid w:val="003D6AB7"/>
    <w:rsid w:val="003F74EE"/>
    <w:rsid w:val="004044E2"/>
    <w:rsid w:val="00404EA2"/>
    <w:rsid w:val="00414CAE"/>
    <w:rsid w:val="00416470"/>
    <w:rsid w:val="004251CB"/>
    <w:rsid w:val="00426A5F"/>
    <w:rsid w:val="00455FF3"/>
    <w:rsid w:val="004665E9"/>
    <w:rsid w:val="004867CF"/>
    <w:rsid w:val="00490B39"/>
    <w:rsid w:val="004A0F3A"/>
    <w:rsid w:val="004A15D9"/>
    <w:rsid w:val="004B5537"/>
    <w:rsid w:val="004C4E0D"/>
    <w:rsid w:val="004D7181"/>
    <w:rsid w:val="004F0E2D"/>
    <w:rsid w:val="005348D2"/>
    <w:rsid w:val="00536E27"/>
    <w:rsid w:val="005774DE"/>
    <w:rsid w:val="00585257"/>
    <w:rsid w:val="005B4B43"/>
    <w:rsid w:val="005E172B"/>
    <w:rsid w:val="005E21EE"/>
    <w:rsid w:val="0060500C"/>
    <w:rsid w:val="006073DF"/>
    <w:rsid w:val="006167AE"/>
    <w:rsid w:val="00622851"/>
    <w:rsid w:val="00654DAC"/>
    <w:rsid w:val="00670ABD"/>
    <w:rsid w:val="006A54ED"/>
    <w:rsid w:val="006E7360"/>
    <w:rsid w:val="00706552"/>
    <w:rsid w:val="00715425"/>
    <w:rsid w:val="00737883"/>
    <w:rsid w:val="00740B5B"/>
    <w:rsid w:val="00742233"/>
    <w:rsid w:val="00745ECA"/>
    <w:rsid w:val="00747A98"/>
    <w:rsid w:val="00786A66"/>
    <w:rsid w:val="007B61D2"/>
    <w:rsid w:val="00821884"/>
    <w:rsid w:val="0085728F"/>
    <w:rsid w:val="00866043"/>
    <w:rsid w:val="008B3C16"/>
    <w:rsid w:val="008C33A3"/>
    <w:rsid w:val="008E286B"/>
    <w:rsid w:val="008E6C05"/>
    <w:rsid w:val="00904D8E"/>
    <w:rsid w:val="00914C17"/>
    <w:rsid w:val="0091578D"/>
    <w:rsid w:val="00931AF5"/>
    <w:rsid w:val="00933259"/>
    <w:rsid w:val="0096628E"/>
    <w:rsid w:val="009856B4"/>
    <w:rsid w:val="00987C8F"/>
    <w:rsid w:val="00993C8E"/>
    <w:rsid w:val="009965BC"/>
    <w:rsid w:val="009967F4"/>
    <w:rsid w:val="009D2577"/>
    <w:rsid w:val="009F3C27"/>
    <w:rsid w:val="00A070A3"/>
    <w:rsid w:val="00A104C1"/>
    <w:rsid w:val="00A123DC"/>
    <w:rsid w:val="00A43998"/>
    <w:rsid w:val="00A73804"/>
    <w:rsid w:val="00A81BFA"/>
    <w:rsid w:val="00AC5800"/>
    <w:rsid w:val="00AE3AB2"/>
    <w:rsid w:val="00AF1957"/>
    <w:rsid w:val="00B07A31"/>
    <w:rsid w:val="00B65439"/>
    <w:rsid w:val="00B7162C"/>
    <w:rsid w:val="00B73F5F"/>
    <w:rsid w:val="00B9069B"/>
    <w:rsid w:val="00BA6FF7"/>
    <w:rsid w:val="00BB7AC1"/>
    <w:rsid w:val="00BE3370"/>
    <w:rsid w:val="00BE7D4E"/>
    <w:rsid w:val="00C04022"/>
    <w:rsid w:val="00C42B15"/>
    <w:rsid w:val="00C56613"/>
    <w:rsid w:val="00C8382A"/>
    <w:rsid w:val="00CB13D8"/>
    <w:rsid w:val="00CB3476"/>
    <w:rsid w:val="00CB498E"/>
    <w:rsid w:val="00CC561B"/>
    <w:rsid w:val="00CD56B2"/>
    <w:rsid w:val="00CE1B34"/>
    <w:rsid w:val="00CF7181"/>
    <w:rsid w:val="00D15967"/>
    <w:rsid w:val="00D266D3"/>
    <w:rsid w:val="00D31B8F"/>
    <w:rsid w:val="00D52C59"/>
    <w:rsid w:val="00D55E16"/>
    <w:rsid w:val="00D567B8"/>
    <w:rsid w:val="00D62EB9"/>
    <w:rsid w:val="00D67A6C"/>
    <w:rsid w:val="00D72D4F"/>
    <w:rsid w:val="00D73CD9"/>
    <w:rsid w:val="00D752BB"/>
    <w:rsid w:val="00DA141F"/>
    <w:rsid w:val="00DA35E1"/>
    <w:rsid w:val="00DB0B3A"/>
    <w:rsid w:val="00DB7FE2"/>
    <w:rsid w:val="00DC07F5"/>
    <w:rsid w:val="00E112C9"/>
    <w:rsid w:val="00E22DC7"/>
    <w:rsid w:val="00E25190"/>
    <w:rsid w:val="00E660AA"/>
    <w:rsid w:val="00E7540B"/>
    <w:rsid w:val="00E779D8"/>
    <w:rsid w:val="00EB5D22"/>
    <w:rsid w:val="00F332F7"/>
    <w:rsid w:val="00F43C17"/>
    <w:rsid w:val="00F64662"/>
    <w:rsid w:val="00F97343"/>
    <w:rsid w:val="00FA0B77"/>
    <w:rsid w:val="00FC4057"/>
    <w:rsid w:val="00FD222E"/>
    <w:rsid w:val="00FD3F08"/>
    <w:rsid w:val="00FE2F1C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931735"/>
  <w15:chartTrackingRefBased/>
  <w15:docId w15:val="{B637B75A-C868-4D41-B4D8-6E3D3E17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7815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rsid w:val="00D67A6C"/>
    <w:pPr>
      <w:keepNext/>
      <w:pBdr>
        <w:bottom w:val="single" w:sz="4" w:space="1" w:color="auto"/>
      </w:pBdr>
      <w:tabs>
        <w:tab w:val="left" w:pos="9639"/>
      </w:tabs>
      <w:spacing w:after="0" w:line="240" w:lineRule="auto"/>
      <w:ind w:right="-1"/>
      <w:jc w:val="both"/>
      <w:outlineLvl w:val="1"/>
    </w:pPr>
    <w:rPr>
      <w:rFonts w:ascii="Bookman Old Style" w:eastAsia="Times New Roman" w:hAnsi="Bookman Old Style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85D77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A123D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rsid w:val="00A123D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D2577"/>
  </w:style>
  <w:style w:type="character" w:styleId="Collegamentoipertestuale">
    <w:name w:val="Hyperlink"/>
    <w:uiPriority w:val="99"/>
    <w:rsid w:val="00EB5D22"/>
    <w:rPr>
      <w:color w:val="0000FF"/>
      <w:u w:val="single"/>
    </w:rPr>
  </w:style>
  <w:style w:type="paragraph" w:styleId="Testofumetto">
    <w:name w:val="Balloon Text"/>
    <w:basedOn w:val="Normale"/>
    <w:semiHidden/>
    <w:rsid w:val="00EB5D22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styleId="Testodelblocco">
    <w:name w:val="Block Text"/>
    <w:basedOn w:val="Normale"/>
    <w:rsid w:val="00D67A6C"/>
    <w:pPr>
      <w:spacing w:after="0" w:line="240" w:lineRule="auto"/>
      <w:ind w:left="567" w:right="423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tx">
    <w:name w:val="tx"/>
    <w:basedOn w:val="Normale"/>
    <w:rsid w:val="00D67A6C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A15D9"/>
    <w:pPr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48"/>
      <w:lang w:eastAsia="it-IT"/>
    </w:rPr>
  </w:style>
  <w:style w:type="character" w:styleId="Titolodellibro">
    <w:name w:val="Book Title"/>
    <w:uiPriority w:val="33"/>
    <w:qFormat/>
    <w:rsid w:val="009F3C27"/>
    <w:rPr>
      <w:b/>
      <w:bCs/>
      <w:i/>
      <w:iCs/>
      <w:spacing w:val="5"/>
    </w:rPr>
  </w:style>
  <w:style w:type="paragraph" w:styleId="Rientrocorpodeltesto">
    <w:name w:val="Body Text Indent"/>
    <w:basedOn w:val="Normale"/>
    <w:link w:val="RientrocorpodeltestoCarattere"/>
    <w:rsid w:val="00B654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B65439"/>
    <w:rPr>
      <w:sz w:val="24"/>
      <w:szCs w:val="24"/>
    </w:rPr>
  </w:style>
  <w:style w:type="character" w:customStyle="1" w:styleId="IntestazioneCarattere">
    <w:name w:val="Intestazione Carattere"/>
    <w:link w:val="Intestazione"/>
    <w:rsid w:val="00B9069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2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gniadisanpaolo.it/it/contributi/evoluzioni-transizione-digitale-nelleconomia-social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acoop-piemonte.co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0.0.3\FileServer\MODELLI%20e%20PROCEDURE\MODELLI%20(solo%20x%20copia%20no%20modifica)\Segreteria%20Generale\M030%20-%20ver%202.0%20-%20lettera%20parere%20adesione%20legacoo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EF34-6F0D-44B6-AE62-714E3256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M030 - ver 2.0 - lettera parere adesione legacoop</Template>
  <TotalTime>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Torino, 07/07/2006</vt:lpstr>
    </vt:vector>
  </TitlesOfParts>
  <Company>Lega Coop</Company>
  <LinksUpToDate>false</LinksUpToDate>
  <CharactersWithSpaces>5233</CharactersWithSpaces>
  <SharedDoc>false</SharedDoc>
  <HLinks>
    <vt:vector size="6" baseType="variant">
      <vt:variant>
        <vt:i4>2949236</vt:i4>
      </vt:variant>
      <vt:variant>
        <vt:i4>3</vt:i4>
      </vt:variant>
      <vt:variant>
        <vt:i4>0</vt:i4>
      </vt:variant>
      <vt:variant>
        <vt:i4>5</vt:i4>
      </vt:variant>
      <vt:variant>
        <vt:lpwstr>http://www.legacoop-piemonte.coop/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Torino, 07/07/2006</dc:title>
  <dc:subject/>
  <dc:creator>Barbara Daniele</dc:creator>
  <cp:keywords/>
  <cp:lastModifiedBy>Sabrina Glionna</cp:lastModifiedBy>
  <cp:revision>2</cp:revision>
  <cp:lastPrinted>2021-11-02T14:20:00Z</cp:lastPrinted>
  <dcterms:created xsi:type="dcterms:W3CDTF">2022-03-31T07:50:00Z</dcterms:created>
  <dcterms:modified xsi:type="dcterms:W3CDTF">2022-03-31T07:50:00Z</dcterms:modified>
</cp:coreProperties>
</file>